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99B" w:rsidRDefault="0042399B" w:rsidP="0042399B">
      <w:pPr>
        <w:keepLines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C5618" w:rsidRDefault="000F3631" w:rsidP="001A3A02">
      <w:pPr>
        <w:keepLines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A3A02">
        <w:rPr>
          <w:rFonts w:ascii="Arial" w:hAnsi="Arial" w:cs="Arial"/>
          <w:sz w:val="22"/>
          <w:szCs w:val="22"/>
        </w:rPr>
        <w:t xml:space="preserve">Following a review of the </w:t>
      </w:r>
      <w:r w:rsidRPr="001A3A02">
        <w:rPr>
          <w:rFonts w:ascii="Arial" w:hAnsi="Arial" w:cs="Arial"/>
          <w:i/>
          <w:sz w:val="22"/>
          <w:szCs w:val="22"/>
        </w:rPr>
        <w:t>Holidays Act 1983</w:t>
      </w:r>
      <w:r w:rsidRPr="001A3A02">
        <w:rPr>
          <w:rFonts w:ascii="Arial" w:hAnsi="Arial" w:cs="Arial"/>
          <w:sz w:val="22"/>
          <w:szCs w:val="22"/>
        </w:rPr>
        <w:t xml:space="preserve"> undertaken by </w:t>
      </w:r>
      <w:r w:rsidR="005C5618" w:rsidRPr="001A3A02">
        <w:rPr>
          <w:rFonts w:ascii="Arial" w:hAnsi="Arial" w:cs="Arial"/>
          <w:sz w:val="22"/>
          <w:szCs w:val="22"/>
        </w:rPr>
        <w:t>the previous Queensland Government, the Act was amended in 2011 to</w:t>
      </w:r>
      <w:r w:rsidR="002C2375">
        <w:rPr>
          <w:rFonts w:ascii="Arial" w:hAnsi="Arial" w:cs="Arial"/>
          <w:sz w:val="22"/>
          <w:szCs w:val="22"/>
        </w:rPr>
        <w:t>, amongst other things,</w:t>
      </w:r>
      <w:r w:rsidR="005C5618" w:rsidRPr="001A3A02">
        <w:rPr>
          <w:rFonts w:ascii="Arial" w:hAnsi="Arial" w:cs="Arial"/>
          <w:sz w:val="22"/>
          <w:szCs w:val="22"/>
        </w:rPr>
        <w:t xml:space="preserve"> move the Queen’s Birthday public holiday </w:t>
      </w:r>
      <w:r w:rsidR="002C2375">
        <w:rPr>
          <w:rFonts w:ascii="Arial" w:hAnsi="Arial" w:cs="Arial"/>
          <w:sz w:val="22"/>
          <w:szCs w:val="22"/>
        </w:rPr>
        <w:t xml:space="preserve">from the second Monday in June </w:t>
      </w:r>
      <w:r w:rsidR="005C5618" w:rsidRPr="001A3A02">
        <w:rPr>
          <w:rFonts w:ascii="Arial" w:hAnsi="Arial" w:cs="Arial"/>
          <w:sz w:val="22"/>
          <w:szCs w:val="22"/>
        </w:rPr>
        <w:t>to the first Monday in October, with the change commencing in 2012.</w:t>
      </w:r>
    </w:p>
    <w:p w:rsidR="001A3A02" w:rsidRPr="001A3A02" w:rsidRDefault="001A3A02" w:rsidP="001A3A02">
      <w:pPr>
        <w:keepLines/>
        <w:jc w:val="both"/>
        <w:rPr>
          <w:rFonts w:ascii="Arial" w:hAnsi="Arial" w:cs="Arial"/>
          <w:sz w:val="22"/>
          <w:szCs w:val="22"/>
        </w:rPr>
      </w:pPr>
    </w:p>
    <w:p w:rsidR="009D3A54" w:rsidRPr="009D3A54" w:rsidRDefault="009D3A54" w:rsidP="009D3A54">
      <w:pPr>
        <w:numPr>
          <w:ilvl w:val="0"/>
          <w:numId w:val="2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D3A54">
        <w:rPr>
          <w:rFonts w:ascii="Arial" w:hAnsi="Arial" w:cs="Arial"/>
          <w:sz w:val="22"/>
          <w:szCs w:val="22"/>
        </w:rPr>
        <w:t>The</w:t>
      </w:r>
      <w:r w:rsidR="002C2375" w:rsidRPr="002C2375">
        <w:rPr>
          <w:lang w:val="en-US"/>
        </w:rPr>
        <w:t xml:space="preserve"> </w:t>
      </w:r>
      <w:r w:rsidR="002C2375" w:rsidRPr="002C2375">
        <w:rPr>
          <w:rFonts w:ascii="Arial" w:hAnsi="Arial" w:cs="Arial"/>
          <w:bCs/>
          <w:color w:val="auto"/>
          <w:sz w:val="22"/>
          <w:szCs w:val="22"/>
        </w:rPr>
        <w:t>Holidays and Other Legislation Amendment Bill 2012</w:t>
      </w:r>
      <w:r w:rsidR="002C2375">
        <w:rPr>
          <w:lang w:val="en-US"/>
        </w:rPr>
        <w:t xml:space="preserve"> </w:t>
      </w:r>
      <w:r w:rsidRPr="009D3A54">
        <w:rPr>
          <w:rFonts w:ascii="Arial" w:hAnsi="Arial" w:cs="Arial"/>
          <w:bCs/>
          <w:color w:val="auto"/>
          <w:sz w:val="22"/>
          <w:szCs w:val="22"/>
        </w:rPr>
        <w:t>provides for:</w:t>
      </w:r>
    </w:p>
    <w:p w:rsidR="009D3A54" w:rsidRPr="009D3A54" w:rsidRDefault="00F14775" w:rsidP="00E835D2">
      <w:pPr>
        <w:numPr>
          <w:ilvl w:val="0"/>
          <w:numId w:val="8"/>
        </w:numPr>
        <w:spacing w:before="120"/>
        <w:ind w:hanging="295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t</w:t>
      </w:r>
      <w:r w:rsidR="002C2375">
        <w:rPr>
          <w:rFonts w:ascii="Arial" w:hAnsi="Arial" w:cs="Arial"/>
          <w:bCs/>
          <w:color w:val="auto"/>
          <w:sz w:val="22"/>
          <w:szCs w:val="22"/>
        </w:rPr>
        <w:t xml:space="preserve">he movement of </w:t>
      </w:r>
      <w:r w:rsidR="009D3A54" w:rsidRPr="009D3A54">
        <w:rPr>
          <w:rFonts w:ascii="Arial" w:hAnsi="Arial" w:cs="Arial"/>
          <w:bCs/>
          <w:color w:val="auto"/>
          <w:sz w:val="22"/>
          <w:szCs w:val="22"/>
        </w:rPr>
        <w:t xml:space="preserve">Labour Day </w:t>
      </w:r>
      <w:r w:rsidR="002C2375">
        <w:rPr>
          <w:rFonts w:ascii="Arial" w:hAnsi="Arial" w:cs="Arial"/>
          <w:bCs/>
          <w:color w:val="auto"/>
          <w:sz w:val="22"/>
          <w:szCs w:val="22"/>
        </w:rPr>
        <w:t>from May to the</w:t>
      </w:r>
      <w:r w:rsidR="009D3A54" w:rsidRPr="009D3A54">
        <w:rPr>
          <w:rFonts w:ascii="Arial" w:hAnsi="Arial" w:cs="Arial"/>
          <w:bCs/>
          <w:color w:val="auto"/>
          <w:sz w:val="22"/>
          <w:szCs w:val="22"/>
        </w:rPr>
        <w:t xml:space="preserve"> first Monday in October</w:t>
      </w:r>
      <w:r w:rsidR="00A57C0D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r w:rsidR="002C2375" w:rsidRPr="002C2375">
        <w:rPr>
          <w:rFonts w:ascii="Arial" w:hAnsi="Arial" w:cs="Arial"/>
          <w:bCs/>
          <w:color w:val="auto"/>
          <w:sz w:val="22"/>
          <w:szCs w:val="22"/>
        </w:rPr>
        <w:t>appointed as Queen’s Birthday public holiday from 2012</w:t>
      </w:r>
      <w:r w:rsidR="00A57C0D">
        <w:rPr>
          <w:rFonts w:ascii="Arial" w:hAnsi="Arial" w:cs="Arial"/>
          <w:bCs/>
          <w:color w:val="auto"/>
          <w:sz w:val="22"/>
          <w:szCs w:val="22"/>
        </w:rPr>
        <w:t>)</w:t>
      </w:r>
      <w:r w:rsidR="009D3A54" w:rsidRPr="009D3A54">
        <w:rPr>
          <w:rFonts w:ascii="Arial" w:hAnsi="Arial" w:cs="Arial"/>
          <w:bCs/>
          <w:color w:val="auto"/>
          <w:sz w:val="22"/>
          <w:szCs w:val="22"/>
        </w:rPr>
        <w:t>; and</w:t>
      </w:r>
    </w:p>
    <w:p w:rsidR="009D3A54" w:rsidRPr="009D3A54" w:rsidRDefault="009D3A54" w:rsidP="00E835D2">
      <w:pPr>
        <w:numPr>
          <w:ilvl w:val="0"/>
          <w:numId w:val="8"/>
        </w:numPr>
        <w:spacing w:before="120"/>
        <w:ind w:hanging="295"/>
        <w:rPr>
          <w:rFonts w:ascii="Arial" w:hAnsi="Arial" w:cs="Arial"/>
          <w:bCs/>
          <w:color w:val="auto"/>
          <w:sz w:val="22"/>
          <w:szCs w:val="22"/>
        </w:rPr>
      </w:pPr>
      <w:r w:rsidRPr="009D3A54">
        <w:rPr>
          <w:rFonts w:ascii="Arial" w:hAnsi="Arial" w:cs="Arial"/>
          <w:bCs/>
          <w:color w:val="auto"/>
          <w:sz w:val="22"/>
          <w:szCs w:val="22"/>
        </w:rPr>
        <w:t>the Queen’s</w:t>
      </w:r>
      <w:r w:rsidR="002C2375">
        <w:rPr>
          <w:rFonts w:ascii="Arial" w:hAnsi="Arial" w:cs="Arial"/>
          <w:bCs/>
          <w:color w:val="auto"/>
          <w:sz w:val="22"/>
          <w:szCs w:val="22"/>
        </w:rPr>
        <w:t xml:space="preserve"> Birthday</w:t>
      </w:r>
      <w:r w:rsidRPr="009D3A54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2C2375">
        <w:rPr>
          <w:rFonts w:ascii="Arial" w:hAnsi="Arial" w:cs="Arial"/>
          <w:bCs/>
          <w:color w:val="auto"/>
          <w:sz w:val="22"/>
          <w:szCs w:val="22"/>
        </w:rPr>
        <w:t>public h</w:t>
      </w:r>
      <w:r w:rsidRPr="009D3A54">
        <w:rPr>
          <w:rFonts w:ascii="Arial" w:hAnsi="Arial" w:cs="Arial"/>
          <w:bCs/>
          <w:color w:val="auto"/>
          <w:sz w:val="22"/>
          <w:szCs w:val="22"/>
        </w:rPr>
        <w:t>oliday to be on the second Monday in June</w:t>
      </w:r>
      <w:r w:rsidR="00F14775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9D3A54" w:rsidRPr="009D3A54" w:rsidRDefault="009D3A54" w:rsidP="009D3A54">
      <w:pPr>
        <w:rPr>
          <w:rFonts w:ascii="Arial" w:hAnsi="Arial" w:cs="Arial"/>
          <w:bCs/>
          <w:color w:val="auto"/>
          <w:sz w:val="22"/>
          <w:szCs w:val="22"/>
        </w:rPr>
      </w:pPr>
    </w:p>
    <w:p w:rsidR="009D3A54" w:rsidRDefault="009D3A54" w:rsidP="009D3A54">
      <w:pPr>
        <w:tabs>
          <w:tab w:val="left" w:pos="426"/>
        </w:tabs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D3A54">
        <w:rPr>
          <w:rFonts w:ascii="Arial" w:hAnsi="Arial" w:cs="Arial"/>
          <w:bCs/>
          <w:color w:val="auto"/>
          <w:sz w:val="22"/>
          <w:szCs w:val="22"/>
        </w:rPr>
        <w:t xml:space="preserve">4. </w:t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 w:rsidRPr="00EE4E6F">
        <w:rPr>
          <w:rFonts w:ascii="Arial" w:hAnsi="Arial" w:cs="Arial"/>
          <w:bCs/>
          <w:color w:val="auto"/>
          <w:sz w:val="22"/>
          <w:szCs w:val="22"/>
          <w:u w:val="single"/>
        </w:rPr>
        <w:t>Cabinet approved</w:t>
      </w:r>
      <w:r w:rsidRPr="009D3A54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F14775">
        <w:rPr>
          <w:rFonts w:ascii="Arial" w:hAnsi="Arial" w:cs="Arial"/>
          <w:bCs/>
          <w:color w:val="auto"/>
          <w:sz w:val="22"/>
          <w:szCs w:val="22"/>
        </w:rPr>
        <w:t xml:space="preserve">the introduction of the </w:t>
      </w:r>
      <w:r w:rsidR="00E835D2" w:rsidRPr="00E835D2">
        <w:rPr>
          <w:rFonts w:ascii="Arial" w:hAnsi="Arial" w:cs="Arial"/>
          <w:bCs/>
          <w:color w:val="auto"/>
          <w:sz w:val="22"/>
          <w:szCs w:val="22"/>
        </w:rPr>
        <w:t>Holidays and Other Legislation Amendment Bill 2012</w:t>
      </w:r>
      <w:r w:rsidR="00E835D2">
        <w:rPr>
          <w:rFonts w:ascii="Arial" w:hAnsi="Arial" w:cs="Arial"/>
          <w:bCs/>
          <w:color w:val="auto"/>
          <w:sz w:val="22"/>
          <w:szCs w:val="22"/>
        </w:rPr>
        <w:t xml:space="preserve"> into the Legislative Assembly</w:t>
      </w:r>
      <w:r w:rsidR="00F14775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9D3A54" w:rsidRDefault="009D3A54" w:rsidP="009D3A54">
      <w:pPr>
        <w:tabs>
          <w:tab w:val="left" w:pos="426"/>
        </w:tabs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9D3A54" w:rsidRPr="009D3A54" w:rsidRDefault="00A57C0D" w:rsidP="00E835D2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bCs/>
          <w:i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5</w:t>
      </w:r>
      <w:r w:rsidR="009D3A54">
        <w:rPr>
          <w:rFonts w:ascii="Arial" w:hAnsi="Arial" w:cs="Arial"/>
          <w:bCs/>
          <w:color w:val="auto"/>
          <w:sz w:val="22"/>
          <w:szCs w:val="22"/>
        </w:rPr>
        <w:t>.</w:t>
      </w:r>
      <w:r w:rsidR="009D3A54">
        <w:rPr>
          <w:rFonts w:ascii="Arial" w:hAnsi="Arial" w:cs="Arial"/>
          <w:bCs/>
          <w:color w:val="auto"/>
          <w:sz w:val="22"/>
          <w:szCs w:val="22"/>
        </w:rPr>
        <w:tab/>
      </w:r>
      <w:r w:rsidR="009D3A54" w:rsidRPr="009D3A54">
        <w:rPr>
          <w:rFonts w:ascii="Arial" w:hAnsi="Arial" w:cs="Arial"/>
          <w:bCs/>
          <w:i/>
          <w:color w:val="auto"/>
          <w:sz w:val="22"/>
          <w:szCs w:val="22"/>
          <w:u w:val="single"/>
        </w:rPr>
        <w:t>Attachments</w:t>
      </w:r>
    </w:p>
    <w:p w:rsidR="002C2375" w:rsidRPr="002C2375" w:rsidRDefault="008E5ABC" w:rsidP="00E835D2">
      <w:pPr>
        <w:numPr>
          <w:ilvl w:val="0"/>
          <w:numId w:val="3"/>
        </w:numPr>
        <w:spacing w:before="120"/>
        <w:ind w:left="811" w:hanging="386"/>
        <w:jc w:val="both"/>
        <w:rPr>
          <w:rFonts w:ascii="Arial" w:hAnsi="Arial" w:cs="Arial"/>
          <w:bCs/>
          <w:color w:val="auto"/>
          <w:sz w:val="22"/>
          <w:szCs w:val="22"/>
        </w:rPr>
      </w:pPr>
      <w:hyperlink r:id="rId7" w:history="1">
        <w:r w:rsidR="002C2375" w:rsidRPr="00A208FC">
          <w:rPr>
            <w:rStyle w:val="Hyperlink"/>
            <w:rFonts w:ascii="Arial" w:hAnsi="Arial" w:cs="Arial"/>
            <w:bCs/>
            <w:sz w:val="22"/>
            <w:szCs w:val="22"/>
          </w:rPr>
          <w:t>Holidays and Other Legislation Amendment Bill 2012</w:t>
        </w:r>
      </w:hyperlink>
    </w:p>
    <w:p w:rsidR="002C2375" w:rsidRPr="009D3A54" w:rsidRDefault="008E5ABC" w:rsidP="00E835D2">
      <w:pPr>
        <w:numPr>
          <w:ilvl w:val="0"/>
          <w:numId w:val="3"/>
        </w:numPr>
        <w:spacing w:before="120"/>
        <w:ind w:left="811" w:hanging="386"/>
        <w:jc w:val="both"/>
      </w:pPr>
      <w:hyperlink r:id="rId8" w:history="1">
        <w:r w:rsidR="001A3A02" w:rsidRPr="00A208FC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2C2375" w:rsidRPr="009D3A54" w:rsidSect="00B46A4E">
      <w:headerReference w:type="default" r:id="rId9"/>
      <w:footerReference w:type="default" r:id="rId10"/>
      <w:headerReference w:type="first" r:id="rId11"/>
      <w:pgSz w:w="11907" w:h="16840" w:code="9"/>
      <w:pgMar w:top="1418" w:right="851" w:bottom="1191" w:left="1985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320" w:rsidRDefault="00ED4320">
      <w:r>
        <w:separator/>
      </w:r>
    </w:p>
  </w:endnote>
  <w:endnote w:type="continuationSeparator" w:id="0">
    <w:p w:rsidR="00ED4320" w:rsidRDefault="00ED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E0" w:rsidRPr="001141E1" w:rsidRDefault="00D160E0" w:rsidP="00B46A4E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320" w:rsidRDefault="00ED4320">
      <w:r>
        <w:separator/>
      </w:r>
    </w:p>
  </w:footnote>
  <w:footnote w:type="continuationSeparator" w:id="0">
    <w:p w:rsidR="00ED4320" w:rsidRDefault="00ED4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E0" w:rsidRPr="000400F9" w:rsidRDefault="008B69E8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2" name="Picture 1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0E0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D160E0">
      <w:rPr>
        <w:rFonts w:ascii="Arial" w:hAnsi="Arial" w:cs="Arial"/>
        <w:b/>
        <w:sz w:val="22"/>
        <w:szCs w:val="22"/>
        <w:u w:val="single"/>
      </w:rPr>
      <w:t>month year</w:t>
    </w:r>
  </w:p>
  <w:p w:rsidR="00D160E0" w:rsidRDefault="00D160E0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D160E0" w:rsidRDefault="00D160E0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D160E0" w:rsidRPr="00F10DF9" w:rsidRDefault="00D160E0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E0" w:rsidRPr="00D75134" w:rsidRDefault="00D160E0" w:rsidP="00DF3059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D160E0" w:rsidRPr="00D75134" w:rsidRDefault="00D160E0" w:rsidP="00DF3059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D160E0" w:rsidRPr="001E209B" w:rsidRDefault="00D160E0" w:rsidP="00DF3059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August</w:t>
    </w:r>
    <w:r w:rsidRPr="001E209B">
      <w:rPr>
        <w:rFonts w:ascii="Arial" w:hAnsi="Arial" w:cs="Arial"/>
        <w:b/>
        <w:sz w:val="22"/>
        <w:szCs w:val="22"/>
      </w:rPr>
      <w:t xml:space="preserve"> 2012</w:t>
    </w:r>
  </w:p>
  <w:p w:rsidR="00D160E0" w:rsidRDefault="00D160E0" w:rsidP="00DF305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Holidays </w:t>
    </w:r>
    <w:r w:rsidR="00E835D2">
      <w:rPr>
        <w:rFonts w:ascii="Arial" w:hAnsi="Arial" w:cs="Arial"/>
        <w:b/>
        <w:sz w:val="22"/>
        <w:szCs w:val="22"/>
        <w:u w:val="single"/>
      </w:rPr>
      <w:t xml:space="preserve">and Other Legislation </w:t>
    </w:r>
    <w:r>
      <w:rPr>
        <w:rFonts w:ascii="Arial" w:hAnsi="Arial" w:cs="Arial"/>
        <w:b/>
        <w:sz w:val="22"/>
        <w:szCs w:val="22"/>
        <w:u w:val="single"/>
      </w:rPr>
      <w:t>Amendment Bill 2012</w:t>
    </w:r>
  </w:p>
  <w:p w:rsidR="00D160E0" w:rsidRDefault="00D160E0" w:rsidP="00DF305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D160E0" w:rsidRPr="00F10DF9" w:rsidRDefault="00D160E0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242F"/>
    <w:multiLevelType w:val="hybridMultilevel"/>
    <w:tmpl w:val="C1C418CC"/>
    <w:lvl w:ilvl="0" w:tplc="9F761CE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803"/>
        </w:tabs>
        <w:ind w:left="180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7739F0"/>
    <w:multiLevelType w:val="hybridMultilevel"/>
    <w:tmpl w:val="8D7657BE"/>
    <w:lvl w:ilvl="0" w:tplc="0B8E8C0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503FD"/>
    <w:multiLevelType w:val="hybridMultilevel"/>
    <w:tmpl w:val="56E63B7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65DB6"/>
    <w:multiLevelType w:val="hybridMultilevel"/>
    <w:tmpl w:val="A2AC2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8329A"/>
    <w:multiLevelType w:val="hybridMultilevel"/>
    <w:tmpl w:val="DBF4C67E"/>
    <w:lvl w:ilvl="0" w:tplc="DBBC6E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36AC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76FE"/>
    <w:multiLevelType w:val="multilevel"/>
    <w:tmpl w:val="2396A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D1"/>
    <w:rsid w:val="000455EC"/>
    <w:rsid w:val="0005520C"/>
    <w:rsid w:val="00060480"/>
    <w:rsid w:val="000851A4"/>
    <w:rsid w:val="000B2B97"/>
    <w:rsid w:val="000E20D0"/>
    <w:rsid w:val="000F3631"/>
    <w:rsid w:val="00152B45"/>
    <w:rsid w:val="00180EDB"/>
    <w:rsid w:val="00186FC3"/>
    <w:rsid w:val="00187946"/>
    <w:rsid w:val="001A3A02"/>
    <w:rsid w:val="001C5C47"/>
    <w:rsid w:val="001F02E8"/>
    <w:rsid w:val="00252E60"/>
    <w:rsid w:val="0025436A"/>
    <w:rsid w:val="002676EC"/>
    <w:rsid w:val="002806B7"/>
    <w:rsid w:val="0029502A"/>
    <w:rsid w:val="002B02FD"/>
    <w:rsid w:val="002C2375"/>
    <w:rsid w:val="002D4245"/>
    <w:rsid w:val="002E287D"/>
    <w:rsid w:val="003046FE"/>
    <w:rsid w:val="00310F46"/>
    <w:rsid w:val="00312AA0"/>
    <w:rsid w:val="00335925"/>
    <w:rsid w:val="00355094"/>
    <w:rsid w:val="00360FD6"/>
    <w:rsid w:val="00361B46"/>
    <w:rsid w:val="00392ABB"/>
    <w:rsid w:val="0042399B"/>
    <w:rsid w:val="004367D0"/>
    <w:rsid w:val="00451A6D"/>
    <w:rsid w:val="0045700A"/>
    <w:rsid w:val="004635C1"/>
    <w:rsid w:val="00485E0A"/>
    <w:rsid w:val="004B6E70"/>
    <w:rsid w:val="004C4363"/>
    <w:rsid w:val="004C565F"/>
    <w:rsid w:val="004C5A54"/>
    <w:rsid w:val="00515706"/>
    <w:rsid w:val="00522272"/>
    <w:rsid w:val="00540C7B"/>
    <w:rsid w:val="005535C5"/>
    <w:rsid w:val="00560F27"/>
    <w:rsid w:val="0056466F"/>
    <w:rsid w:val="005904FA"/>
    <w:rsid w:val="00591C4E"/>
    <w:rsid w:val="00595143"/>
    <w:rsid w:val="0059637D"/>
    <w:rsid w:val="005A2C11"/>
    <w:rsid w:val="005A5013"/>
    <w:rsid w:val="005C5618"/>
    <w:rsid w:val="005D400B"/>
    <w:rsid w:val="005E408F"/>
    <w:rsid w:val="005F1ED3"/>
    <w:rsid w:val="006051CB"/>
    <w:rsid w:val="00614D3C"/>
    <w:rsid w:val="00627623"/>
    <w:rsid w:val="00630279"/>
    <w:rsid w:val="00631E60"/>
    <w:rsid w:val="006331FA"/>
    <w:rsid w:val="0065620E"/>
    <w:rsid w:val="00673EC1"/>
    <w:rsid w:val="006862CE"/>
    <w:rsid w:val="006A1FA0"/>
    <w:rsid w:val="006D27D4"/>
    <w:rsid w:val="006D3F7D"/>
    <w:rsid w:val="006F0676"/>
    <w:rsid w:val="006F2F07"/>
    <w:rsid w:val="00706B3C"/>
    <w:rsid w:val="00722D58"/>
    <w:rsid w:val="00723733"/>
    <w:rsid w:val="007370E8"/>
    <w:rsid w:val="00747101"/>
    <w:rsid w:val="00752CFA"/>
    <w:rsid w:val="00774813"/>
    <w:rsid w:val="007A6B61"/>
    <w:rsid w:val="007B7EC7"/>
    <w:rsid w:val="007C5D57"/>
    <w:rsid w:val="007E18AD"/>
    <w:rsid w:val="00820DA3"/>
    <w:rsid w:val="00827922"/>
    <w:rsid w:val="00832E6D"/>
    <w:rsid w:val="0083708B"/>
    <w:rsid w:val="0085166C"/>
    <w:rsid w:val="00856692"/>
    <w:rsid w:val="00861F1B"/>
    <w:rsid w:val="008668E1"/>
    <w:rsid w:val="008727EB"/>
    <w:rsid w:val="00887450"/>
    <w:rsid w:val="008A64D2"/>
    <w:rsid w:val="008B434F"/>
    <w:rsid w:val="008B69E8"/>
    <w:rsid w:val="008E368A"/>
    <w:rsid w:val="008E5ABC"/>
    <w:rsid w:val="0090158F"/>
    <w:rsid w:val="009158FC"/>
    <w:rsid w:val="00952787"/>
    <w:rsid w:val="009710BC"/>
    <w:rsid w:val="009715B0"/>
    <w:rsid w:val="00997C80"/>
    <w:rsid w:val="009B581E"/>
    <w:rsid w:val="009D324F"/>
    <w:rsid w:val="009D3A54"/>
    <w:rsid w:val="009D461E"/>
    <w:rsid w:val="009E64A4"/>
    <w:rsid w:val="009E7FB3"/>
    <w:rsid w:val="009F2B65"/>
    <w:rsid w:val="009F5419"/>
    <w:rsid w:val="00A03813"/>
    <w:rsid w:val="00A11FBB"/>
    <w:rsid w:val="00A1318C"/>
    <w:rsid w:val="00A208FC"/>
    <w:rsid w:val="00A41E3F"/>
    <w:rsid w:val="00A50826"/>
    <w:rsid w:val="00A55E4D"/>
    <w:rsid w:val="00A57C0D"/>
    <w:rsid w:val="00A6221E"/>
    <w:rsid w:val="00A96C88"/>
    <w:rsid w:val="00AC18A4"/>
    <w:rsid w:val="00AD277A"/>
    <w:rsid w:val="00AE6038"/>
    <w:rsid w:val="00B133B9"/>
    <w:rsid w:val="00B21F0C"/>
    <w:rsid w:val="00B26013"/>
    <w:rsid w:val="00B3321A"/>
    <w:rsid w:val="00B34EA8"/>
    <w:rsid w:val="00B445A8"/>
    <w:rsid w:val="00B46A4E"/>
    <w:rsid w:val="00B47527"/>
    <w:rsid w:val="00B577C5"/>
    <w:rsid w:val="00BB5E42"/>
    <w:rsid w:val="00BE437D"/>
    <w:rsid w:val="00BE6F32"/>
    <w:rsid w:val="00BF6981"/>
    <w:rsid w:val="00BF6FD4"/>
    <w:rsid w:val="00C12939"/>
    <w:rsid w:val="00C23ABB"/>
    <w:rsid w:val="00C2657F"/>
    <w:rsid w:val="00C30329"/>
    <w:rsid w:val="00C325A1"/>
    <w:rsid w:val="00C56904"/>
    <w:rsid w:val="00C8361E"/>
    <w:rsid w:val="00CA1730"/>
    <w:rsid w:val="00CA1FD2"/>
    <w:rsid w:val="00CB3466"/>
    <w:rsid w:val="00CC006D"/>
    <w:rsid w:val="00CC75AD"/>
    <w:rsid w:val="00CE05CC"/>
    <w:rsid w:val="00CE7993"/>
    <w:rsid w:val="00CF0639"/>
    <w:rsid w:val="00CF44D1"/>
    <w:rsid w:val="00D160E0"/>
    <w:rsid w:val="00D242FE"/>
    <w:rsid w:val="00D44E94"/>
    <w:rsid w:val="00D65E90"/>
    <w:rsid w:val="00D82079"/>
    <w:rsid w:val="00D856B1"/>
    <w:rsid w:val="00DA4564"/>
    <w:rsid w:val="00DA66B6"/>
    <w:rsid w:val="00DC47ED"/>
    <w:rsid w:val="00DF3059"/>
    <w:rsid w:val="00E10C09"/>
    <w:rsid w:val="00E12EBA"/>
    <w:rsid w:val="00E211B0"/>
    <w:rsid w:val="00E4797D"/>
    <w:rsid w:val="00E6758B"/>
    <w:rsid w:val="00E7299C"/>
    <w:rsid w:val="00E775F7"/>
    <w:rsid w:val="00E835D2"/>
    <w:rsid w:val="00E96B91"/>
    <w:rsid w:val="00EA6D8A"/>
    <w:rsid w:val="00EB4CD3"/>
    <w:rsid w:val="00EC06FB"/>
    <w:rsid w:val="00ED4320"/>
    <w:rsid w:val="00EE4BD1"/>
    <w:rsid w:val="00EE4E6F"/>
    <w:rsid w:val="00EE5B20"/>
    <w:rsid w:val="00EF4CD1"/>
    <w:rsid w:val="00F14775"/>
    <w:rsid w:val="00F17536"/>
    <w:rsid w:val="00FB44DA"/>
    <w:rsid w:val="00FD11B7"/>
    <w:rsid w:val="00FD6F0A"/>
    <w:rsid w:val="00FE5652"/>
    <w:rsid w:val="00FE6256"/>
    <w:rsid w:val="00FF533E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DF3059"/>
    <w:rPr>
      <w:sz w:val="24"/>
      <w:lang w:val="en-AU" w:eastAsia="en-AU" w:bidi="ar-SA"/>
    </w:rPr>
  </w:style>
  <w:style w:type="paragraph" w:customStyle="1" w:styleId="msolistparagraph0">
    <w:name w:val="msolistparagraph"/>
    <w:basedOn w:val="Normal"/>
    <w:rsid w:val="009D3A54"/>
    <w:pPr>
      <w:ind w:left="720"/>
    </w:pPr>
    <w:rPr>
      <w:rFonts w:ascii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Holidays%20and%20Other%20Legislation%20Amendment%20Bill%202012%20Explanatory%20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Holidays%20and%20Other%20Legislation%20Amendment%20Bill%20201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654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775</CharactersWithSpaces>
  <SharedDoc>false</SharedDoc>
  <HyperlinkBase>https://www.cabinet.qld.gov.au/documents/2012/Aug/Holidays Bill/</HyperlinkBase>
  <HLinks>
    <vt:vector size="12" baseType="variant"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Attachments/Holidays and Other Legislation Amendment Bill 2012 Explanatory Notes.PDF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Attachments/Holidays and Other Legislation Amendment Bill 2012.PDF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2008-05-14T22:54:00Z</cp:lastPrinted>
  <dcterms:created xsi:type="dcterms:W3CDTF">2017-10-24T23:18:00Z</dcterms:created>
  <dcterms:modified xsi:type="dcterms:W3CDTF">2018-03-06T01:12:00Z</dcterms:modified>
  <cp:category>Public_Holidays,Legislation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-1204714307</vt:i4>
  </property>
  <property fmtid="{D5CDD505-2E9C-101B-9397-08002B2CF9AE}" pid="3" name="_NewReviewCycle">
    <vt:lpwstr/>
  </property>
  <property fmtid="{D5CDD505-2E9C-101B-9397-08002B2CF9AE}" pid="4" name="_PreviousAdHocReviewCycleID">
    <vt:i4>547929766</vt:i4>
  </property>
  <property fmtid="{D5CDD505-2E9C-101B-9397-08002B2CF9AE}" pid="5" name="_ReviewingToolsShownOnce">
    <vt:lpwstr/>
  </property>
</Properties>
</file>